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Rowan Coburn-Griffis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14321 Road 7L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Pandora, Ohio 45877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(740) 248-0668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*rcoburn-griffis@antiochcollege.org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1440" w:hanging="1440"/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Objective:</w:t>
        <w:tab/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My main objective is to maintain a career as a full-time natural resources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interpreter and veterinary technician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1440" w:hanging="1440"/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1440" w:hanging="1440"/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Education: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Pandora-Gilboa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Grade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Ottawa-Glandorf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College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College Preparation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1440" w:firstLine="0"/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Hocking Technical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Associate’s Degree in Natural Resources Law Enforcement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Antioch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On-going BA of Environmental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Honors/Activities: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Dean’s List every term at Hocking College/some terms at Antioch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World Community Workshop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Employment:  Custodial Work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Hocking Hills State Park, Logan, OH, May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  <w:t xml:space="preserve">2012-September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Field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Grounds Maintenance; minimal work with tractors,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Clean bathrooms/shower houses in seven different parks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A few rescues, involving one vertical rope rescue and several generic haul-outs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ab/>
        <w:t xml:space="preserve">Barn Worker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, The Riding Centre, Yellow Springs, OH, October 2014-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Barn upkeep (cleaning, mucking out stalls)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Horse handling (some medicinal administrations,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Therapeutic help (leading horses)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contextualSpacing w:val="0"/>
        <w:rPr>
          <w:rFonts w:ascii="Georgia" w:cs="Georgia" w:eastAsia="Georgia" w:hAnsi="Georgi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Intern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Dr. Dan’s Animal Hospital, </w:t>
      </w: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1624 14th Ave, Vero Beach, FL,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720" w:firstLine="720"/>
        <w:contextualSpacing w:val="0"/>
        <w:rPr>
          <w:rFonts w:ascii="Georgia" w:cs="Georgia" w:eastAsia="Georgia" w:hAnsi="Georgi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      January 2016-March 2016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2160" w:hanging="360"/>
        <w:contextualSpacing w:val="1"/>
        <w:rPr>
          <w:rFonts w:ascii="Georgia" w:cs="Georgia" w:eastAsia="Georgia" w:hAnsi="Georgia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Secretarial work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2160" w:hanging="360"/>
        <w:contextualSpacing w:val="1"/>
        <w:rPr>
          <w:rFonts w:ascii="Georgia" w:cs="Georgia" w:eastAsia="Georgia" w:hAnsi="Georgia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Loading rooms (in preparation for doctor; i.e. taking down information on patient and concerns)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ind w:left="2160" w:hanging="360"/>
        <w:contextualSpacing w:val="1"/>
        <w:rPr>
          <w:rFonts w:ascii="Georgia" w:cs="Georgia" w:eastAsia="Georgia" w:hAnsi="Georgia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Animal care, including some work at home with extreme cases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ind w:left="1350" w:firstLine="0"/>
        <w:contextualSpacing w:val="0"/>
        <w:rPr>
          <w:rFonts w:ascii="Georgia" w:cs="Georgia" w:eastAsia="Georgia" w:hAnsi="Georgia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Intern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, FIT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Vero Beach Marine Lab, </w:t>
      </w: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805 46th Pl E, Vero Beach, FL,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ind w:left="720" w:firstLine="720"/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      January 2016-March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Write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Lead open-house tours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Care for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Facilitator of The Quarry Farm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, Pandora, Ohio, 2010-present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Train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Care for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Lead tours, walks,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2160" w:hanging="360"/>
        <w:rPr>
          <w:b w:val="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Community outreach (social media and off-site programs)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